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Részletes indokolás</w:t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Önkormányzatának 2018. évi költségvetéséről szóló 2/2018.(III.12.) önkormányzati rendelet módosításának</w:t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  <w:t>tervezetéhez</w:t>
      </w:r>
    </w:p>
    <w:p>
      <w:r/>
    </w:p>
    <w:p>
      <w:r/>
    </w:p>
    <w:p>
      <w:r/>
    </w:p>
    <w:p>
      <w:pPr>
        <w:spacing w:after="120"/>
        <w:rPr>
          <w:b/>
        </w:rPr>
      </w:pPr>
      <w:r>
        <w:rPr>
          <w:b/>
        </w:rPr>
        <w:t>A rendelet-tervezet 1. §-ához</w:t>
      </w:r>
    </w:p>
    <w:p>
      <w:pPr>
        <w:spacing/>
        <w:jc w:val="both"/>
      </w:pPr>
      <w:r>
        <w:t>A rendelet-tervezet 1. § (1) bekezdésében az Önkormányzat 2018. évi költségvetésének bevételi és kiadási főösszegét növeltük meg 28.674 ezer Ft-tal. (A 2/2018.(III.12.) önkormányzati rendelet főösszege 1.310.898 ezer Ft-ról 1.339.572 ezer Ft-ra változott).</w:t>
      </w:r>
    </w:p>
    <w:p>
      <w:r/>
    </w:p>
    <w:p>
      <w:pPr>
        <w:spacing w:after="120"/>
        <w:rPr>
          <w:b/>
        </w:rPr>
      </w:pPr>
      <w:r>
        <w:rPr>
          <w:b/>
        </w:rPr>
        <w:t>A rendelet-tervezet 2. §-ához</w:t>
      </w:r>
    </w:p>
    <w:p>
      <w:pPr>
        <w:spacing/>
        <w:jc w:val="both"/>
      </w:pPr>
      <w:r>
        <w:t>A rendelet-tervezet 2. §-a tartalmazza azt, hogy az önkormányzat 2018. évi költségvetéséről szóló rendelete mellékletei a rendelet-tervezet mellékleteinek megfelelően változnak meg, a következők szerint:</w:t>
      </w:r>
    </w:p>
    <w:p>
      <w:pPr>
        <w:spacing w:before="120" w:after="120"/>
        <w:jc w:val="both"/>
      </w:pPr>
      <w:r>
        <w:rPr>
          <w:u w:color="auto" w:val="single"/>
        </w:rPr>
        <w:t>1. melléklet:</w:t>
      </w:r>
      <w:r>
        <w:t xml:space="preserve"> Csorvás Város Önkormányzata összesített bevételei, kiadásai módosítását tartalmazza kötelező, önként vállalt, és igazgatási feladatok szerinti bontásban.</w:t>
      </w:r>
    </w:p>
    <w:p>
      <w:pPr>
        <w:spacing/>
        <w:jc w:val="both"/>
      </w:pPr>
      <w:r>
        <w:rPr>
          <w:u w:color="auto" w:val="single"/>
        </w:rPr>
        <w:t>2. melléklet:</w:t>
      </w:r>
      <w:r>
        <w:t xml:space="preserve"> Az intézményenkénti bevételeket tartalmazza kötelező, önként vállalt, és igazgatási feladatok szerinti bontásban. Csorvás Város Önkormányzata bevétele 26.895 ezer Ft-tal, a Csorvási Polgármesteri Hivatal bevétele 1.484 ezer Ft-tal,  az Egyesített Szociális Intézmény bevétele 295 ezer Ft-tal növekedett. A Csorvási Óvoda és Bölcsőde bevétele nem növekedett.</w:t>
      </w:r>
    </w:p>
    <w:p>
      <w:pPr>
        <w:spacing w:before="120" w:after="120"/>
        <w:jc w:val="both"/>
      </w:pPr>
      <w:r>
        <w:rPr>
          <w:u w:color="auto" w:val="single"/>
        </w:rPr>
        <w:t>3. melléklet:</w:t>
      </w:r>
      <w:r>
        <w:t xml:space="preserve"> Az intézményenkénti kiadásokat tartalmazza kötelező, önként vállalt, és igazgatási feladatok szerinti bontásban. Csorvás Város Önkormányzata kiadása 23.889 ezer Ft-tal, a Csorvási Polgármesteri Hivatal kiadása 1.590 ezer Ft-tal, a Csorvási Óvoda és Bölcsőde kiadása 51 ezer Ft-tal, az Egyesített Szociális Intézmény kiadása 3.144 ezer Ft-tal növekedett.</w:t>
      </w:r>
    </w:p>
    <w:p>
      <w:pPr>
        <w:spacing/>
        <w:jc w:val="both"/>
      </w:pPr>
      <w:r>
        <w:rPr>
          <w:u w:color="auto" w:val="single"/>
        </w:rPr>
        <w:t>4. melléklet:</w:t>
      </w:r>
      <w:r>
        <w:t xml:space="preserve"> Csorvás Város Önkormányzata bevételeinek kormányzati funkciónkénti változását tartalmazza kötelező, önként vállalt, és igazgatási feladatok szerinti bontásban.</w:t>
      </w:r>
    </w:p>
    <w:p>
      <w:r>
        <w:tab/>
        <w:t>- Önkormányzat költségvetési támogatása</w:t>
        <w:tab/>
        <w:t xml:space="preserve">            </w:t>
        <w:tab/>
        <w:t>10.145 ezer Ft-tal,</w:t>
      </w:r>
    </w:p>
    <w:p>
      <w:r>
        <w:tab/>
        <w:t>- Működési és felhalmozási támogatások</w:t>
        <w:tab/>
        <w:tab/>
        <w:t xml:space="preserve">            16.750 ezer Ft-tal,</w:t>
      </w:r>
    </w:p>
    <w:p>
      <w:r>
        <w:t>emelkedett.</w:t>
      </w:r>
    </w:p>
    <w:p>
      <w:pPr>
        <w:spacing w:before="120"/>
        <w:jc w:val="both"/>
      </w:pPr>
      <w:r>
        <w:rPr>
          <w:u w:color="auto" w:val="single"/>
        </w:rPr>
        <w:t>5. melléklet:</w:t>
      </w:r>
      <w:r>
        <w:t xml:space="preserve"> Csorvás Város Önkormányzata kiadásainak kormányzati funkciónkénti változását tartalmazza kötelező, önként vállalt, és igazgatási feladatok szerinti bontásban.</w:t>
      </w:r>
    </w:p>
    <w:p>
      <w:r>
        <w:tab/>
        <w:t>- Személyi juttatások</w:t>
        <w:tab/>
        <w:tab/>
        <w:tab/>
        <w:tab/>
        <w:tab/>
        <w:t xml:space="preserve">          15.421 ezer Ft-tal,</w:t>
      </w:r>
    </w:p>
    <w:p>
      <w:r>
        <w:tab/>
        <w:t>- Munkaadókat terhelő járulékok</w:t>
        <w:tab/>
        <w:tab/>
        <w:tab/>
        <w:t xml:space="preserve">            1.516 ezer Ft-tal,</w:t>
      </w:r>
    </w:p>
    <w:p>
      <w:r>
        <w:tab/>
        <w:t>- Dologi kiadások</w:t>
        <w:tab/>
        <w:tab/>
        <w:tab/>
        <w:tab/>
        <w:t xml:space="preserve">                        6.952 ezer Ft-tal,</w:t>
      </w:r>
    </w:p>
    <w:p>
      <w:r>
        <w:t>változott.</w:t>
      </w:r>
    </w:p>
    <w:p>
      <w:pPr>
        <w:spacing w:before="120" w:after="120"/>
        <w:jc w:val="both"/>
      </w:pPr>
      <w:r>
        <w:rPr>
          <w:u w:color="auto" w:val="single"/>
        </w:rPr>
        <w:t>6. melléklet:</w:t>
      </w:r>
      <w:r>
        <w:t xml:space="preserve"> A Csorvási Polgármesteri Hivatal bevételeinek és kiadásainak kormányzati funkciónkénti változását tartalmazza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Bevételek</w:t>
      </w:r>
      <w:r>
        <w:t>: A működési célú támogatások államháztartáson belülről bevétele 1.484 ezer Ft-tal növekedett.</w:t>
      </w:r>
    </w:p>
    <w:p>
      <w:pPr>
        <w:spacing w:before="120" w:after="120"/>
        <w:jc w:val="both"/>
      </w:pPr>
      <w:r>
        <w:rPr>
          <w:u w:color="auto" w:val="single"/>
        </w:rPr>
        <w:t>Kiadások:</w:t>
      </w:r>
      <w:r>
        <w:t xml:space="preserve"> A személyi juttatások 1.331 ezer Ft-tal, a munkaadókat terhelő járulékok 259 ezer Ft-tal növekedtek.</w:t>
      </w:r>
    </w:p>
    <w:p>
      <w:pPr>
        <w:spacing/>
        <w:jc w:val="both"/>
      </w:pPr>
      <w:r>
        <w:rPr>
          <w:u w:color="auto" w:val="single"/>
        </w:rPr>
        <w:t>7. melléklet:</w:t>
      </w:r>
      <w:r>
        <w:t xml:space="preserve"> A Csorvási Óvoda és Bölcsőde bevételeinek és kiadásainak kormányzati funkciónkénti változását tartalmazza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Bevételek:</w:t>
      </w:r>
      <w:r>
        <w:t xml:space="preserve"> A bevétel nem növekedett.</w:t>
      </w:r>
    </w:p>
    <w:p>
      <w:pPr>
        <w:spacing w:before="120" w:after="120"/>
        <w:jc w:val="both"/>
      </w:pPr>
      <w:r>
        <w:rPr>
          <w:u w:color="auto" w:val="single"/>
        </w:rPr>
        <w:t>Kiadások:</w:t>
      </w:r>
      <w:r>
        <w:t xml:space="preserve"> A személyi juttatások 43 ezer Ft-tal, a munkaadókat terhelő járulékok 8 ezer Ft-tal,  növekedtek.</w:t>
      </w:r>
    </w:p>
    <w:p>
      <w:pPr>
        <w:spacing/>
        <w:jc w:val="both"/>
      </w:pPr>
      <w:r>
        <w:rPr>
          <w:u w:color="auto" w:val="single"/>
        </w:rPr>
        <w:t>8. melléklet:</w:t>
      </w:r>
      <w:r>
        <w:t xml:space="preserve"> Az Egyesített Szociális Intézmény bevételeinek és kiadásainak kormányzati funkciónkénti változását tartalmazza kötelező, önként vállalt, és igazgatási feladatok szerinti bontásban.</w:t>
      </w:r>
    </w:p>
    <w:p>
      <w:pPr>
        <w:spacing w:before="120" w:after="120"/>
        <w:jc w:val="both"/>
      </w:pPr>
      <w:r>
        <w:rPr>
          <w:u w:color="auto" w:val="single"/>
        </w:rPr>
        <w:t>Bevételek:</w:t>
      </w:r>
      <w:r>
        <w:t xml:space="preserve"> A működési célú támogatások államháztartáson belülről bevétele 295 ezer Ft-tal növekedett.</w:t>
      </w:r>
    </w:p>
    <w:p>
      <w:pPr>
        <w:spacing w:before="120" w:after="120"/>
        <w:jc w:val="both"/>
      </w:pPr>
      <w:r>
        <w:rPr>
          <w:u w:color="auto" w:val="single"/>
        </w:rPr>
        <w:t>Kiadások:</w:t>
      </w:r>
      <w:r>
        <w:t xml:space="preserve"> A személyi juttatások 2.682 ezer Ft-tal, a munkaadókat terhelő járulékok 462 ezer Ft-tal növekedtek. </w:t>
      </w:r>
    </w:p>
    <w:p>
      <w:pPr>
        <w:spacing w:before="120" w:after="120"/>
        <w:jc w:val="both"/>
      </w:pPr>
      <w:r>
        <w:rPr>
          <w:u w:color="auto" w:val="single"/>
        </w:rPr>
        <w:t>9. melléklet:</w:t>
      </w:r>
      <w:r>
        <w:t xml:space="preserve"> A rendelet-tervezet 1. § (1) bekezdésében megjelölt 28.674 ezer Ft-os változást az önkormányzati mérlegben is át kellett vezetni, működési és felhalmozási bevételek és kiadások tekintetében. </w:t>
      </w:r>
    </w:p>
    <w:p>
      <w:pPr>
        <w:spacing/>
        <w:jc w:val="both"/>
      </w:pPr>
      <w:r>
        <w:rPr>
          <w:u w:color="auto" w:val="single"/>
        </w:rPr>
        <w:t>10. melléklet:</w:t>
      </w:r>
      <w:r>
        <w:t xml:space="preserve"> Az intézményenként kimutatott dolgozói létszám Csorvás Város Önkormányzatánál változott, a közfoglalkoztatottak létszáma 71 főről 94 főre emelkedett.</w:t>
      </w:r>
    </w:p>
    <w:p>
      <w:pPr>
        <w:spacing w:before="120"/>
        <w:jc w:val="both"/>
      </w:pPr>
      <w:r>
        <w:rPr>
          <w:u w:color="auto" w:val="single"/>
        </w:rPr>
        <w:t>11. melléklet:</w:t>
      </w:r>
      <w:r>
        <w:t xml:space="preserve"> A rendelet-tervezet 1. § (1) bekezdésében megjelölt 28.674 ezer Ft-os változást az előirányzat-felhasználási ütemtervben is át kellett vezetni.</w:t>
      </w:r>
    </w:p>
    <w:p>
      <w:pPr>
        <w:spacing w:before="120" w:after="120"/>
        <w:jc w:val="both"/>
      </w:pPr>
      <w:r>
        <w:rPr>
          <w:u w:color="auto" w:val="single"/>
        </w:rPr>
        <w:t>12. melléklet:</w:t>
      </w:r>
      <w:r>
        <w:t xml:space="preserve"> A rendelet-tervezet 1. § (1) bekezdésében megjelölt 28.674 ezer Ft-os változást a likviditási terven is át kellett vezetni.</w:t>
      </w:r>
    </w:p>
    <w:p>
      <w:pPr>
        <w:spacing w:after="120"/>
        <w:rPr>
          <w:b/>
        </w:rPr>
      </w:pPr>
      <w:r>
        <w:rPr>
          <w:b/>
        </w:rPr>
        <w:t>A rendelet-tervezet 3. §-ához</w:t>
      </w:r>
    </w:p>
    <w:p>
      <w:pPr>
        <w:spacing w:after="120"/>
      </w:pPr>
      <w:r>
        <w:t>A rendelet-tervezet 3. §-a a hatályba léptető rendelkezést tartalmazza.</w:t>
      </w:r>
    </w:p>
    <w:p>
      <w:pPr>
        <w:spacing w:before="120" w:after="120"/>
        <w:jc w:val="both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headerReference w:type="first" r:id="rId9"/>
      <w:footerReference w:type="first" r:id="rId10"/>
      <w:type w:val="nextPage"/>
      <w:pgSz w:h="16838" w:w="11906"/>
      <w:pgMar w:left="1417" w:top="1417" w:right="1417" w:bottom="1417" w:header="708" w:footer="709"/>
      <w:paperSrc w:first="0" w:other="0"/>
      <w:pgNumType w:fmt="decimal"/>
      <w:titlePg/>
      <w:tmGutter w:val="3"/>
      <w:mirrorMargins w:val="0"/>
      <w:tmSection w:h="-2">
        <w:tmHeader w:id="0" w:h="0" edge="708" text="0">
          <w:shd w:val="none"/>
        </w:tmHeader>
        <w:tmFooter w:id="0" w:h="0" edge="709" text="0">
          <w:shd w:val="none"/>
        </w:tmFooter>
        <w:tmHeader w:id="2" w:h="0" edge="708" text="0">
          <w:shd w:val="none"/>
        </w:tmHeader>
        <w:tmFooter w:id="2" w:h="0" edge="709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egoe UI">
    <w:panose1 w:val="020B0502040204020203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1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0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" name="Szövegdobo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:sm="smNativeData" val="SMDATA_14_Dl0T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CCLgAAxkE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QAAAAAAAAAACAAAAAQAAAAAAAAAAAAAAAgAAAAEAAAC0AAAAFAEAAAAAAADnFgAAxQIAAA=="/>
                        </a:ext>
                      </a:extLst>
                    </wps:cNvSpPr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para1"/>
                            <w:rPr>
                              <w:rStyle w:val="char1"/>
                            </w:rPr>
                          </w:pPr>
                          <w:r>
                            <w:rPr>
                              <w:rStyle w:val="char1"/>
                            </w:rPr>
                          </w:r>
                          <w:r>
                            <w:rPr>
                              <w:rStyle w:val="char1"/>
                            </w:rPr>
                            <w:fldChar w:fldCharType="begin"/>
                            <w:instrText xml:space="preserve"> PAGE </w:instrText>
                            <w:fldChar w:fldCharType="separate"/>
                            <w:t>2</w:t>
                            <w:fldChar w:fldCharType="end"/>
                          </w:r>
                          <w:r>
                            <w:rPr>
                              <w:rStyle w:val="char1"/>
                            </w:rPr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path gradientshapeok="t" o:connecttype="rect"/>
            </v:shapetype>
            <v:shape id="Szövegdoboz1" o:spid="_x0000_s2049" type="#_x0000_t202" style="position:absolute;mso-position-horizontal:center;margin-top:0.05pt;mso-position-horizontal-relative:margin;width:9.00pt;height:13.80pt;z-index:251658241;mso-wrap-distance-left:0.00pt;mso-wrap-distance-top:0.00pt;mso-wrap-distance-right:0.00pt;mso-wrap-distance-bottom:0.00pt;mso-wrap-style:square" stroked="f" filled="f" v:ext="SMDATA_14_Dl0T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CCLgAAxkE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AQ4gAAQAAAAAAAAAACAAAAAQAAAAAAAAAAAAAAAgAAAAEAAAC0AAAAFAEAAAAAAADnFgAAxQIAAA==" o:insetmode="custom">
              <w10:wrap type="square" anchorx="margin" anchory="text"/>
              <v:textbox style="mso-fit-shape-to-text:t" inset="0.0pt,0.0pt,0.0pt,0.0pt">
                <w:txbxContent>
                  <w:p>
                    <w:pPr>
                      <w:pStyle w:val="para1"/>
                      <w:rPr>
                        <w:rStyle w:val="char1"/>
                      </w:rPr>
                    </w:pPr>
                    <w:r>
                      <w:rPr>
                        <w:rStyle w:val="char1"/>
                      </w:rPr>
                    </w:r>
                    <w:r>
                      <w:rPr>
                        <w:rStyle w:val="char1"/>
                      </w:rPr>
                      <w:fldChar w:fldCharType="begin"/>
                      <w:instrText xml:space="preserve"> PAGE </w:instrText>
                      <w:fldChar w:fldCharType="separate"/>
                      <w:t>2</w:t>
                      <w:fldChar w:fldCharType="end"/>
                    </w:r>
                    <w:r>
                      <w:rPr>
                        <w:rStyle w:val="char1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5121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21"/>
      <w:tmLastPosIdx w:val="39"/>
    </w:tmLastPosCaret>
    <w:tmLastPosAnchor>
      <w:tmLastPosPgfIdx w:val="0"/>
      <w:tmLastPosIdx w:val="0"/>
    </w:tmLastPosAnchor>
    <w:tmLastPosTblRect w:left="0" w:top="0" w:right="0" w:bottom="0"/>
  </w:tmLastPos>
  <w:tmAppRevision w:date="1544772878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>
    <w:name w:val="Page Number"/>
  </w:style>
  <w:style w:type="character" w:styleId="char2" w:customStyle="1">
    <w:name w:val=" Char Char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2">
    <w:name w:val="Balloon Text"/>
    <w:qFormat/>
    <w:basedOn w:val="para0"/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>
    <w:name w:val="Page Number"/>
  </w:style>
  <w:style w:type="character" w:styleId="char2" w:customStyle="1">
    <w:name w:val=" Char Char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/>
  <cp:revision>6</cp:revision>
  <cp:lastPrinted>2018-03-12T15:12:00Z</cp:lastPrinted>
  <dcterms:created xsi:type="dcterms:W3CDTF">2018-06-20T20:31:00Z</dcterms:created>
  <dcterms:modified xsi:type="dcterms:W3CDTF">2018-12-14T07:34:38Z</dcterms:modified>
</cp:coreProperties>
</file>